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Załącznik nr 1 do Zapytania ofertowego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zadanie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 komputery przenośne (laptopy)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zadanie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 pakiety oprogramowania biurowego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zadanie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wie torby na komputery przenośne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zadanie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dwa zestawy bezprzewodowe klawiatura + mysz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zadanie 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wie podkładki pod mysz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426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zadanie 6:</w:t>
      </w:r>
      <w:r w:rsidDel="00000000" w:rsidR="00000000" w:rsidRPr="00000000">
        <w:rPr>
          <w:rtl w:val="0"/>
        </w:rPr>
        <w:t xml:space="preserve"> jeden monitor komputerowy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Tabela oferowanych środków trwałych i wartości niematerialnych zgodnych z wymaganiami Zamawiającego.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Zadanie 1.</w:t>
      </w:r>
      <w:r w:rsidDel="00000000" w:rsidR="00000000" w:rsidRPr="00000000">
        <w:rPr>
          <w:rtl w:val="0"/>
        </w:rPr>
        <w:t xml:space="preserve"> Dwa komputery przenośne (laptopy)</w:t>
        <w:br w:type="textWrapping"/>
        <w:t xml:space="preserve">Wymagania minimalne lub równoważne. Wykonawca, który powołuje się na rozwiązania równoważne jest obowiązany wykazać, że oferowane przez niego dostawy spełniają wymagania określone przez Zamawiającego.</w:t>
      </w: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1"/>
        <w:gridCol w:w="2248"/>
        <w:gridCol w:w="6402"/>
        <w:tblGridChange w:id="0">
          <w:tblGrid>
            <w:gridCol w:w="701"/>
            <w:gridCol w:w="2248"/>
            <w:gridCol w:w="6402"/>
          </w:tblGrid>
        </w:tblGridChange>
      </w:tblGrid>
      <w:t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Nazwa komponentu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Wymagane minimalne parametry techniczne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Zastosowanie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Komputer przenośny może być wykorzystywany do n/w zastosowań: obsługi aplikacji biurowych, edukacyjnych, obliczeniowych, jako lokalna baza danych oraz w celu dostępu do Internetu i poczty elektronicznej.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Zamawiający oczekuje wyszczególnienia w ofercie nazwy producenta i modelu oferowanego komputera.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Płyta główna i chipset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Zaprojektowana do komputerów przenośnych, chipset dostosowany do zaoferowanego procesora.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Zamawiający oczekuje wyszczególnienia w ofercie nazwy producenta i modelu oferowanej płyty głównej.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Procesor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64 bitowy, przeznaczony do pracy w komputerach przenośnych według testu wydajnościowego PassMark CPU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https://www.cpubenchmark.net/cpu_list.php</w:t>
            </w:r>
            <w:r w:rsidDel="00000000" w:rsidR="00000000" w:rsidRPr="00000000">
              <w:rPr>
                <w:rtl w:val="0"/>
              </w:rPr>
              <w:t xml:space="preserve">) – wynik nie może być niższy niż 6233 punktów.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Zamawiający oczekuje wyszczególnienia w ofercie nazwy producenta i modelu oferowanego procesora.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Liczba rdzeni procesora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min. 4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Liczba wątków procesora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min. 4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Pamięć podręczna procesora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4 MB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Taktowanie bazowe procesora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1.6 GHz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Taktowanie trybu turbo: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4.2 GHz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Pamięć RAM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8 GB, DDR4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Matryca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przekątna od 15,6" do 15,6"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podświetlenie LED,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rozdzielczość natywna min. 1920x1080 piksele, 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powierzchnia matowa lub anty-glare.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Dysk twardy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256 GB SSD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Interfejs dysku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M.2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Karta graficzna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dedykowana lub zintegrowana z płytą główną.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Karta dźwiękowa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zintegrowana, wbudowane głośniki stereo.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Złącza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HDMI, USB 2.0 typ A, USB 3.0 Typ A, RJ-45, minijack 3,5 mm (audio)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Typ napędu optycznego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DVD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Komunikacja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Wi-Fi, Bluetooth, LAN 10/100/1000 Mbps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System operacyjny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zainstalowany system operacyjny niewymagający aktywacji za pomocą telefonu lub Internetu u producenta systemu – Microsoft Windows 10 Professional PL 64 – bit lub inny równoważny system operacyjny charakteryzujący się następującymi cechami: </w:t>
            </w:r>
          </w:p>
          <w:p w:rsidR="00000000" w:rsidDel="00000000" w:rsidP="00000000" w:rsidRDefault="00000000" w:rsidRPr="00000000" w14:paraId="0000004C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zlokalizowane w języku polskim co najmniej następujące elementy: pomoc techniczna i komunikaty systemowe, </w:t>
            </w:r>
          </w:p>
          <w:p w:rsidR="00000000" w:rsidDel="00000000" w:rsidP="00000000" w:rsidRDefault="00000000" w:rsidRPr="00000000" w14:paraId="0000004D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uruchamianie autorskich aplikacji wymagających środowiska Microsoft .NET Framework, </w:t>
            </w:r>
          </w:p>
          <w:p w:rsidR="00000000" w:rsidDel="00000000" w:rsidP="00000000" w:rsidRDefault="00000000" w:rsidRPr="00000000" w14:paraId="0000004E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wsparcie dla większości powszechnie używanych drukarek i urządzeń sieciowych, standardów USB, Plug&amp;Play, </w:t>
            </w:r>
          </w:p>
          <w:p w:rsidR="00000000" w:rsidDel="00000000" w:rsidP="00000000" w:rsidRDefault="00000000" w:rsidRPr="00000000" w14:paraId="0000004F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możliwość przywracania plików systemowych, </w:t>
            </w:r>
          </w:p>
          <w:p w:rsidR="00000000" w:rsidDel="00000000" w:rsidP="00000000" w:rsidRDefault="00000000" w:rsidRPr="00000000" w14:paraId="00000050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możliwość zdalnej instalacji, konfiguracji i administrowania systemem, </w:t>
            </w:r>
          </w:p>
          <w:p w:rsidR="00000000" w:rsidDel="00000000" w:rsidP="00000000" w:rsidRDefault="00000000" w:rsidRPr="00000000" w14:paraId="00000051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możliwość podłączenia oraz pełnej współpracy z systemem MS Windows 2003/2008 Server oraz MS Active Directory jako klient domeny MS Windows, </w:t>
            </w:r>
          </w:p>
          <w:p w:rsidR="00000000" w:rsidDel="00000000" w:rsidP="00000000" w:rsidRDefault="00000000" w:rsidRPr="00000000" w14:paraId="00000052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zabezpieczony hasłem hierarchiczny dostęp do systemu, konta i profile użytkowników zarządzane zdalnie, </w:t>
            </w:r>
          </w:p>
          <w:p w:rsidR="00000000" w:rsidDel="00000000" w:rsidP="00000000" w:rsidRDefault="00000000" w:rsidRPr="00000000" w14:paraId="00000053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zdalna instalacja oraz konfiguracja systemu za pomocą zasad grup propagowanych z domeny, </w:t>
            </w:r>
          </w:p>
          <w:p w:rsidR="00000000" w:rsidDel="00000000" w:rsidP="00000000" w:rsidRDefault="00000000" w:rsidRPr="00000000" w14:paraId="00000054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dostępność dwóch rodzajów graficznego interfejsu użytkownika: </w:t>
            </w:r>
          </w:p>
          <w:p w:rsidR="00000000" w:rsidDel="00000000" w:rsidP="00000000" w:rsidRDefault="00000000" w:rsidRPr="00000000" w14:paraId="00000055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klasyczny, umożliwiający obsługę przy pomocy klawiatury i myszy, </w:t>
            </w:r>
          </w:p>
          <w:p w:rsidR="00000000" w:rsidDel="00000000" w:rsidP="00000000" w:rsidRDefault="00000000" w:rsidRPr="00000000" w14:paraId="00000056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dotykowy umożliwiający sterowanie dotykiem, </w:t>
            </w:r>
          </w:p>
          <w:p w:rsidR="00000000" w:rsidDel="00000000" w:rsidP="00000000" w:rsidRDefault="00000000" w:rsidRPr="00000000" w14:paraId="00000057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:rsidR="00000000" w:rsidDel="00000000" w:rsidP="00000000" w:rsidRDefault="00000000" w:rsidRPr="00000000" w14:paraId="00000058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-możliwość dokonywania aktualizacji i poprawek systemu poprzez mechanizm zarządzany przez administratora systemu Zamawiającego, </w:t>
            </w:r>
          </w:p>
          <w:p w:rsidR="00000000" w:rsidDel="00000000" w:rsidP="00000000" w:rsidRDefault="00000000" w:rsidRPr="00000000" w14:paraId="00000059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- wbudowana zapora internetowa (firewall) dla ochrony połączeń internetowych; zintegrowana z systemem konsola do zarządzania ustawieniami zapory,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Waga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Maksymalnie 1.8 kg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Gwarancja 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Min. 36 miesięcy w trybie tzw. „Next Business Day”, realizowana przez producenta komputera bądź Wykonawcę umowy.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Dostawa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Wszystkie części muszą być dostarczone w stanie fabrycznie nowym, w oryginalnym opakowaniu, wolnym od wad technicznych, prawnych i formalnych, zwłaszcza w zakresie licencji i uprawnień do aktualizacji oprogramowania systemowego, wraz z zainstalowanym oprogramowaniem systemowym i wymaganymi licencjami. </w:t>
            </w:r>
          </w:p>
          <w:p w:rsidR="00000000" w:rsidDel="00000000" w:rsidP="00000000" w:rsidRDefault="00000000" w:rsidRPr="00000000" w14:paraId="00000063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Wymagane jest, aby zestaw komputerowy pochodził od tego samego producenta. </w:t>
            </w:r>
          </w:p>
          <w:p w:rsidR="00000000" w:rsidDel="00000000" w:rsidP="00000000" w:rsidRDefault="00000000" w:rsidRPr="00000000" w14:paraId="00000064">
            <w:pPr>
              <w:tabs>
                <w:tab w:val="left" w:pos="1290"/>
              </w:tabs>
              <w:rPr/>
            </w:pPr>
            <w:r w:rsidDel="00000000" w:rsidR="00000000" w:rsidRPr="00000000">
              <w:rPr>
                <w:rtl w:val="0"/>
              </w:rPr>
              <w:t xml:space="preserve">Zamawiający zastrzega sobie prawo do skierowania, po dostawie sprzętu, zapytania do producenta z prośbą o weryfikację numerów seryjnych w celu sprawdzenia zgodności ze specyfikacją i zastrzega sobie prawo odstąpienia od podpisania Protokołu Odbioru w przypadku nie spełnienia powyższych zapisów.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b w:val="1"/>
          <w:rtl w:val="0"/>
        </w:rPr>
        <w:t xml:space="preserve">Zadanie 2. </w:t>
      </w:r>
      <w:r w:rsidDel="00000000" w:rsidR="00000000" w:rsidRPr="00000000">
        <w:rPr>
          <w:rtl w:val="0"/>
        </w:rPr>
        <w:t xml:space="preserve">Dwa pakiety oprogramowania biurowego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Dostawa pakietu Microsoft Office 2019 na licencji OEM niewygasającej (2 licencje na 2 stanowiska) lub inne równoważne oprogramowanie biurowe z licencją charakteryzujące się następującymi cechami:</w:t>
      </w:r>
    </w:p>
    <w:tbl>
      <w:tblPr>
        <w:tblStyle w:val="Table2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8647"/>
        <w:tblGridChange w:id="0">
          <w:tblGrid>
            <w:gridCol w:w="704"/>
            <w:gridCol w:w="8647"/>
          </w:tblGrid>
        </w:tblGridChange>
      </w:tblGrid>
      <w:t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Wymagane minimalne parametry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Zamawiający nie dopuszcza zaoferowania pakietów biurowych, programów i planów licencyjnych opartych o rozwiązania chmury oraz rozwiązań wymagających stałych opłat w okresie używania zakupionego produktu.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Licencje muszą pozwalać na sublicencjonowanie dla jednostek podległych lub nadzorowanych przez Powiat Włoszczowski – Starostwo Powiatowe we Włoszczowie.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Wymagane jest zapewnienie możliwości korzystania z wcześniejszych wersji zamawianego oprogramowania oraz możliwości kopiowania na wiele urządzeń przy wykorzystaniu jednego standardowego lub spersonalizowanego obrazu, przy użyciu jednego klucza licencyjnego.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Licencje na oprogramowanie biurowe muszą pozwalać na przenoszenie oprogramowania pomiędzy stacjami roboczymi (np. w przypadku wymiany stacji roboczej).</w:t>
              <w:tab/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Zamawiający wymaga, aby wszystkie elementy oprogramowania biurowego oraz jego licencja pochodziły od tego samego producenta.</w:t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Warunki równoważności oprogramowania biurowego.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Oprogramowanie równoważne do oprogramowania biurowego, o którym mowa w Punkcie 3, musi spełniać niżej wymienione minimalne wymagania poprzez wbudowane mechanizmy, bez użycia dodatkowych aplikacji: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8647"/>
        <w:tblGridChange w:id="0">
          <w:tblGrid>
            <w:gridCol w:w="704"/>
            <w:gridCol w:w="8647"/>
          </w:tblGrid>
        </w:tblGridChange>
      </w:tblGrid>
      <w:t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Wymagane minimalne parametry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interfejs użytkownika w pełnej polskiej wersji językowej,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możliwość zdalnej instalacji pakietu oprogramowania poprzez zasady grup (GPO),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możliwość automatycznej instalacji komponentów pakietu (przy użyciu instalatora systemowego),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wykorzystanie tej samej licencji na komputerze stacjonarnym oraz na komputerze przenośnym użytkownika,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prawo do instalacji udostępnianych przez producenta oprogramowania bezpłatnych aktualizacji w okresie co najmniej 5 lat,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możliwość zintegrowania uwierzytelniania użytkowników z usługą katalogową (Active Directory) tak, aby użytkownik zalogowany z poziomu systemu operacyjnego stacji roboczej był automatycznie rozpoznawany we wszystkich modułach oferowanego rozwiązania bez potrzeby ponownego uwierzytelniania,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tworzenie i edycja dokumentów elektronicznych w ustalonym formacie, który spełnia następujące warunki:</w:t>
              <w:br w:type="textWrapping"/>
              <w:t xml:space="preserve">a) posiada kompletny i publicznie dostępny opis formatu,</w:t>
              <w:br w:type="textWrapping"/>
              <w:t xml:space="preserve">b) ma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526),</w:t>
              <w:br w:type="textWrapping"/>
              <w:t xml:space="preserve">c) umożliwia wykorzystanie schematów XML,</w:t>
              <w:br w:type="textWrapping"/>
              <w:t xml:space="preserve">d) wspiera w swojej specyfikacji podpis elektroniczny w formacie XAdES,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możliwość nadawania uprawnień do modyfikacji dokumentów tworzonych za pomocą aplikacji wchodzących w skład pakietów oprogramowania,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możliwość automatycznego odświeżania danych pochodzących z Internetu w wytworzonych dokumentach elektronicznych, np. w arkuszu kalkulacyjnym,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możliwość dodawania do dokumentów i arkuszy kalkulacyjnych podpisów elektronicznych pozwalających na stwierdzenie, czy dany dokument lub arkusz pochodzi z bezpiecznego źródła i nie został w żaden sposób zmieniony,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możliwość automatycznego odzyskiwania dokumentów elektronicznych w wypadku nieoczekiwanego zamknięcia aplikacji, np. w wyniku wyłączenia zasilania komputera,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prawidłowe odczytywanie i zapisywanie danych w dokumentach w formatach: .DOC, .DOCX, .XLS, .XLSX, .XLSM, .PPT, .PPTX, .MDB, .ACCDB, w tym obsługa formatowania, makr, formuł i formularzy w plikach wytworzonych w MS Office 2003, MS Office 2007, MS Office 2010 i MS Office 2013, bez utraty danych oraz bez konieczności reformatowania dokumentów,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automatyczne wyróżnianie i aktywowanie hiperłączy w dokumentach podczas edycji i odczytu,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oprogramowanie zawiera narzędzia programistyczne umożliwiające automatyzację pracy i wymianę danych pomiędzy dokumentami i aplikacjami (język makropoleceń, język skryptowy),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oprogramowanie umożliwia dostosowanie dokumentów i szablonów do potrzeb urzędu oraz udostępnianie narzędzia umożliwiające dystrybucję odpowiednich szablonów do właściwych odbiorców,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dostępna jest pełna dokumentacja w języku polskim do aplikacji,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wszystkie aplikacje w pakiecie oprogramowania biurowego muszą być integralną częścią tego samego pakietu, współpracować ze sobą (osadzanie i wymiana danych), posiadać jednolity interfejs oraz ten sam jednolity sposób obsługi,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pakiet zintegrowanych aplikacji biurowych równoważny do oprogramowania, o którym mowa w Punkcie 3 , składa się z następujących aplikacji:</w:t>
              <w:br w:type="textWrapping"/>
              <w:t xml:space="preserve">a) edytora tekstów,</w:t>
              <w:br w:type="textWrapping"/>
              <w:t xml:space="preserve">b) arkusza kalkulacyjnego,</w:t>
              <w:br w:type="textWrapping"/>
              <w:t xml:space="preserve">c) narzędzia do przygotowywania i prowadzenia prezentacji,</w:t>
              <w:br w:type="textWrapping"/>
              <w:t xml:space="preserve">d) narzędzia do tworzenia drukowanych materiałów informacyjnych,</w:t>
              <w:br w:type="textWrapping"/>
              <w:t xml:space="preserve">e) narzędzia do zarządzania informacją prywatą (pocztą elektroniczną, kalendarzem, kontaktami i zadaniami),</w:t>
              <w:br w:type="textWrapping"/>
              <w:t xml:space="preserve">f) narzędzia do tworzenia notatek, przy pomocy klawiatury lub notatek odręcznych na ekranie urządzenia typu tablet PC z mechanizmem OCR,</w:t>
              <w:br w:type="textWrapping"/>
              <w:t xml:space="preserve">g) narzędzia do tworzenia i pracy z bazą danych,</w:t>
              <w:br w:type="textWrapping"/>
              <w:t xml:space="preserve">h) narzędzie do tworzenia i wypełniania formularzy elektronicznych.</w:t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Wykonawca, który powołuje się na rozwiązania równoważne opisywane powyżej jest obowiązany wykazać, że oferowane przez niego dostawy spełniają wymagania określone przez Zamawiającego</w:t>
      </w:r>
    </w:p>
    <w:p w:rsidR="00000000" w:rsidDel="00000000" w:rsidP="00000000" w:rsidRDefault="00000000" w:rsidRPr="00000000" w14:paraId="000000A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Zadanie 3. </w:t>
      </w:r>
      <w:r w:rsidDel="00000000" w:rsidR="00000000" w:rsidRPr="00000000">
        <w:rPr>
          <w:sz w:val="24"/>
          <w:szCs w:val="24"/>
          <w:rtl w:val="0"/>
        </w:rPr>
        <w:t xml:space="preserve">Dwie torby na komputery przenośne</w:t>
      </w:r>
      <w:r w:rsidDel="00000000" w:rsidR="00000000" w:rsidRPr="00000000">
        <w:rPr>
          <w:rtl w:val="0"/>
        </w:rPr>
      </w:r>
    </w:p>
    <w:tbl>
      <w:tblPr>
        <w:tblStyle w:val="Table4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265"/>
        <w:gridCol w:w="6382"/>
        <w:tblGridChange w:id="0">
          <w:tblGrid>
            <w:gridCol w:w="704"/>
            <w:gridCol w:w="2265"/>
            <w:gridCol w:w="6382"/>
          </w:tblGrid>
        </w:tblGridChange>
      </w:tblGrid>
      <w:t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Nazwa komponentu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Wymagane minimalne parametry techniczne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Zastosowanie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Do laptopów o przekątnej 15,6”</w:t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Materiał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Tworzywo sztuczne</w:t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Kolor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Szary/Czarny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Wymiary 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400 x 280 x 65 mm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Waga 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MAX 500 g</w:t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Gwarancja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12 miesięcy </w:t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 </w:t>
            </w:r>
          </w:p>
        </w:tc>
        <w:tc>
          <w:tcPr/>
          <w:p w:rsidR="00000000" w:rsidDel="00000000" w:rsidP="00000000" w:rsidRDefault="00000000" w:rsidRPr="00000000" w14:paraId="000000B9">
            <w:pPr>
              <w:pStyle w:val="Heading1"/>
              <w:shd w:fill="ffffff" w:val="clear"/>
              <w:spacing w:after="0" w:before="0" w:lineRule="auto"/>
              <w:rPr>
                <w:rFonts w:ascii="Calibri" w:cs="Calibri" w:eastAsia="Calibri" w:hAnsi="Calibri"/>
                <w:color w:val="38343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Producent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Zgodny z nazwą producenta komputera przenośnego</w:t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BC">
            <w:pPr>
              <w:pStyle w:val="Heading1"/>
              <w:shd w:fill="ffffff" w:val="clear"/>
              <w:spacing w:after="0" w:before="0" w:lineRule="auto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Pasek na ramię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BF">
            <w:pPr>
              <w:pStyle w:val="Heading1"/>
              <w:shd w:fill="ffffff" w:val="clear"/>
              <w:spacing w:after="0" w:before="0" w:lineRule="auto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Rączka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zadanie 4: </w:t>
      </w:r>
      <w:r w:rsidDel="00000000" w:rsidR="00000000" w:rsidRPr="00000000">
        <w:rPr>
          <w:sz w:val="24"/>
          <w:szCs w:val="24"/>
          <w:rtl w:val="0"/>
        </w:rPr>
        <w:t xml:space="preserve">Dwa zestawy bezprzewodowe mysz + klawiatura</w:t>
      </w:r>
      <w:r w:rsidDel="00000000" w:rsidR="00000000" w:rsidRPr="00000000">
        <w:rPr>
          <w:rtl w:val="0"/>
        </w:rPr>
      </w:r>
    </w:p>
    <w:tbl>
      <w:tblPr>
        <w:tblStyle w:val="Table5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265"/>
        <w:gridCol w:w="6382"/>
        <w:tblGridChange w:id="0">
          <w:tblGrid>
            <w:gridCol w:w="704"/>
            <w:gridCol w:w="2265"/>
            <w:gridCol w:w="6382"/>
          </w:tblGrid>
        </w:tblGridChange>
      </w:tblGrid>
      <w:t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Nazwa komponentu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Wymagane minimalne parametry techniczne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Gwarancja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24 miesiące 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Typ urządzenia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Klawiatura + mysz</w:t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Przeznaczenie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do biura</w:t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Łączność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bezprzewodowa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Komunikacja bezprzewodowa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fale radiowe</w:t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Obszar odbioru fal 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2,4 GHz</w:t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Minimalna rozdzielczość pracy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1200 dpi</w:t>
            </w:r>
          </w:p>
        </w:tc>
      </w:tr>
      <w:tr>
        <w:trPr>
          <w:trHeight w:val="404" w:hRule="atLeast"/>
        </w:trPr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Zasięg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8 m</w:t>
            </w:r>
          </w:p>
        </w:tc>
      </w:tr>
    </w:tbl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zadanie 5: </w:t>
      </w:r>
      <w:r w:rsidDel="00000000" w:rsidR="00000000" w:rsidRPr="00000000">
        <w:rPr>
          <w:sz w:val="24"/>
          <w:szCs w:val="24"/>
          <w:rtl w:val="0"/>
        </w:rPr>
        <w:t xml:space="preserve">Dwie podkładki pod mysz</w:t>
      </w:r>
      <w:r w:rsidDel="00000000" w:rsidR="00000000" w:rsidRPr="00000000">
        <w:rPr>
          <w:rtl w:val="0"/>
        </w:rPr>
      </w:r>
    </w:p>
    <w:tbl>
      <w:tblPr>
        <w:tblStyle w:val="Table6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265"/>
        <w:gridCol w:w="6382"/>
        <w:tblGridChange w:id="0">
          <w:tblGrid>
            <w:gridCol w:w="704"/>
            <w:gridCol w:w="2265"/>
            <w:gridCol w:w="6382"/>
          </w:tblGrid>
        </w:tblGridChange>
      </w:tblGrid>
      <w:t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Nazwa komponentu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Wymagane minimalne parametry techniczne</w:t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Długość 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240 mm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Szerokość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212 mm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Rozmiar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Materiał 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Guma, żel, tkanina</w:t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Podpórka pod nadgarstek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HUB USB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NIE</w:t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Inne cechy 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Antypoślizgowy spód</w:t>
            </w:r>
          </w:p>
        </w:tc>
      </w:tr>
    </w:tbl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Zadanie 6. </w:t>
      </w:r>
      <w:r w:rsidDel="00000000" w:rsidR="00000000" w:rsidRPr="00000000">
        <w:rPr>
          <w:b w:val="1"/>
          <w:rtl w:val="0"/>
        </w:rPr>
        <w:t xml:space="preserve">Jeden monitor komputerowy</w:t>
      </w:r>
      <w:r w:rsidDel="00000000" w:rsidR="00000000" w:rsidRPr="00000000">
        <w:rPr>
          <w:rtl w:val="0"/>
        </w:rPr>
      </w:r>
    </w:p>
    <w:tbl>
      <w:tblPr>
        <w:tblStyle w:val="Table7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265"/>
        <w:gridCol w:w="6382"/>
        <w:tblGridChange w:id="0">
          <w:tblGrid>
            <w:gridCol w:w="704"/>
            <w:gridCol w:w="2265"/>
            <w:gridCol w:w="6382"/>
          </w:tblGrid>
        </w:tblGridChange>
      </w:tblGrid>
      <w:t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Nazwa komponentu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Wymagane minimalne parametry techniczne</w:t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Porty wejścia/wyjścia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x HDMI </w:t>
              <w:br w:type="textWrapping"/>
              <w:t xml:space="preserve">1 x DisplayPort </w:t>
              <w:br w:type="textWrapping"/>
              <w:t xml:space="preserve">1 x wejście audio</w:t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Przekątna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23,8 ‘’</w:t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Rozdzielczość nominalna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1920 x 1080 (Full HD) piksele</w:t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Rodzaj matrycy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IPS</w:t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 obrazu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16:9</w:t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Gwarancja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36 miesięcy </w:t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 </w:t>
            </w:r>
          </w:p>
        </w:tc>
        <w:tc>
          <w:tcPr/>
          <w:p w:rsidR="00000000" w:rsidDel="00000000" w:rsidP="00000000" w:rsidRDefault="00000000" w:rsidRPr="00000000" w14:paraId="00000113">
            <w:pPr>
              <w:pStyle w:val="Heading1"/>
              <w:shd w:fill="ffffff" w:val="clear"/>
              <w:spacing w:after="0" w:lineRule="auto"/>
              <w:rPr>
                <w:rFonts w:ascii="Calibri" w:cs="Calibri" w:eastAsia="Calibri" w:hAnsi="Calibri"/>
                <w:color w:val="38343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Głośniki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16">
            <w:pPr>
              <w:pStyle w:val="Heading1"/>
              <w:shd w:fill="ffffff" w:val="clear"/>
              <w:spacing w:after="0" w:lineRule="auto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bookmarkStart w:colFirst="0" w:colLast="0" w:name="_heading=h.njovw6smrq6d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Pozostałe elementy składowe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Przewód zasilania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przewód HDMI</w:t>
            </w:r>
            <w:r w:rsidDel="00000000" w:rsidR="00000000" w:rsidRPr="00000000">
              <w:rPr>
                <w:rtl w:val="0"/>
              </w:rPr>
              <w:t xml:space="preserve"> o długości min 2m</w:t>
            </w:r>
          </w:p>
        </w:tc>
      </w:tr>
    </w:tbl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410" w:top="1952" w:left="1417" w:right="1417" w:header="708" w:footer="2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</w:r>
  </w:p>
  <w:tbl>
    <w:tblPr>
      <w:tblStyle w:val="Table9"/>
      <w:tblW w:w="9072.0" w:type="dxa"/>
      <w:jc w:val="righ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65"/>
      <w:gridCol w:w="3765"/>
      <w:gridCol w:w="3042"/>
      <w:tblGridChange w:id="0">
        <w:tblGrid>
          <w:gridCol w:w="2265"/>
          <w:gridCol w:w="3765"/>
          <w:gridCol w:w="3042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1F">
          <w:pPr>
            <w:widowControl w:val="0"/>
            <w:spacing w:line="259.00008" w:lineRule="auto"/>
            <w:rPr/>
          </w:pPr>
          <w:r w:rsidDel="00000000" w:rsidR="00000000" w:rsidRPr="00000000">
            <w:rPr>
              <w:sz w:val="20"/>
              <w:szCs w:val="20"/>
              <w:rtl w:val="0"/>
            </w:rPr>
            <w:t xml:space="preserve">Starostwo Powiatowe </w:t>
            <w:br w:type="textWrapping"/>
            <w:t xml:space="preserve">we Włoszczowie</w:t>
            <w:br w:type="textWrapping"/>
            <w:t xml:space="preserve">ul. Wiśniowa 10</w:t>
            <w:br w:type="textWrapping"/>
            <w:t xml:space="preserve">29-100 Włoszczowa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20">
          <w:pPr>
            <w:widowControl w:val="0"/>
            <w:spacing w:line="259.00008" w:lineRule="auto"/>
            <w:rPr/>
          </w:pPr>
          <w:r w:rsidDel="00000000" w:rsidR="00000000" w:rsidRPr="00000000">
            <w:rPr>
              <w:sz w:val="20"/>
              <w:szCs w:val="20"/>
              <w:rtl w:val="0"/>
            </w:rPr>
            <w:br w:type="textWrapping"/>
            <w:t xml:space="preserve">tel.:</w:t>
            <w:tab/>
            <w:t xml:space="preserve">41 39 44 950</w:t>
            <w:br w:type="textWrapping"/>
            <w:t xml:space="preserve">fax:</w:t>
            <w:tab/>
            <w:t xml:space="preserve">41 39 44 965</w:t>
            <w:br w:type="textWrapping"/>
            <w:t xml:space="preserve">e-mail: sekretariat@powiat-wloszczowa.pl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21">
          <w:pPr>
            <w:widowControl w:val="0"/>
            <w:spacing w:after="0" w:line="24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br w:type="textWrapping"/>
          </w:r>
        </w:p>
        <w:p w:rsidR="00000000" w:rsidDel="00000000" w:rsidP="00000000" w:rsidRDefault="00000000" w:rsidRPr="00000000" w14:paraId="00000122">
          <w:pPr>
            <w:widowControl w:val="0"/>
            <w:spacing w:after="0" w:line="240" w:lineRule="auto"/>
            <w:rPr/>
          </w:pPr>
          <w:r w:rsidDel="00000000" w:rsidR="00000000" w:rsidRPr="00000000">
            <w:rPr>
              <w:sz w:val="20"/>
              <w:szCs w:val="20"/>
              <w:rtl w:val="0"/>
            </w:rPr>
            <w:t xml:space="preserve">REGON Powiatu: 2910 09403</w:t>
            <w:br w:type="textWrapping"/>
            <w:t xml:space="preserve">NIP Powiatu: 609 00 72 293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tabs>
        <w:tab w:val="center" w:pos="4530"/>
        <w:tab w:val="right" w:pos="9072"/>
        <w:tab w:val="left" w:pos="5025"/>
      </w:tabs>
      <w:spacing w:after="0" w:line="240" w:lineRule="auto"/>
      <w:rPr/>
    </w:pPr>
    <w:r w:rsidDel="00000000" w:rsidR="00000000" w:rsidRPr="00000000">
      <w:rPr>
        <w:rtl w:val="0"/>
      </w:rPr>
    </w:r>
  </w:p>
  <w:tbl>
    <w:tblPr>
      <w:tblStyle w:val="Table8"/>
      <w:tblW w:w="903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290"/>
      <w:gridCol w:w="7740"/>
      <w:tblGridChange w:id="0">
        <w:tblGrid>
          <w:gridCol w:w="1290"/>
          <w:gridCol w:w="774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1B">
          <w:pPr>
            <w:tabs>
              <w:tab w:val="center" w:pos="4530"/>
              <w:tab w:val="right" w:pos="9072"/>
              <w:tab w:val="left" w:pos="5025"/>
            </w:tabs>
            <w:spacing w:after="0" w:line="240" w:lineRule="auto"/>
            <w:rPr/>
          </w:pPr>
          <w:r w:rsidDel="00000000" w:rsidR="00000000" w:rsidRPr="00000000">
            <w:rPr/>
            <w:drawing>
              <wp:inline distB="0" distT="0" distL="0" distR="0">
                <wp:extent cx="648479" cy="703600"/>
                <wp:effectExtent b="0" l="0" r="0" t="0"/>
                <wp:docPr id="33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479" cy="703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1C">
          <w:pPr>
            <w:tabs>
              <w:tab w:val="center" w:pos="4530"/>
              <w:tab w:val="right" w:pos="9072"/>
              <w:tab w:val="left" w:pos="5025"/>
            </w:tabs>
            <w:spacing w:line="259.20000000000005" w:lineRule="auto"/>
            <w:jc w:val="center"/>
            <w:rPr/>
          </w:pPr>
          <w:r w:rsidDel="00000000" w:rsidR="00000000" w:rsidRPr="00000000">
            <w:rPr>
              <w:sz w:val="26"/>
              <w:szCs w:val="26"/>
              <w:rtl w:val="0"/>
            </w:rPr>
            <w:t xml:space="preserve">Starostwo Powiatowe we Włoszczowie</w:t>
            <w:br w:type="textWrapping"/>
          </w:r>
          <w:r w:rsidDel="00000000" w:rsidR="00000000" w:rsidRPr="00000000">
            <w:rPr>
              <w:rtl w:val="0"/>
            </w:rPr>
            <w:t xml:space="preserve">ul. Wiśniowa 10, 29-100 Włoszczowa</w:t>
            <w:br w:type="textWrapping"/>
            <w:t xml:space="preserve">tel. 41 39 44 950, fax 41 39 44 965</w:t>
          </w:r>
        </w:p>
      </w:tc>
    </w:tr>
  </w:tbl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5025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27277"/>
  </w:style>
  <w:style w:type="paragraph" w:styleId="Nagwek1">
    <w:name w:val="heading 1"/>
    <w:basedOn w:val="Normalny"/>
    <w:link w:val="Nagwek1Znak"/>
    <w:uiPriority w:val="9"/>
    <w:qFormat w:val="1"/>
    <w:rsid w:val="005D19F1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27277"/>
  </w:style>
  <w:style w:type="paragraph" w:styleId="Stopka">
    <w:name w:val="footer"/>
    <w:basedOn w:val="Normalny"/>
    <w:link w:val="StopkaZnak"/>
    <w:uiPriority w:val="99"/>
    <w:unhideWhenUsed w:val="1"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27277"/>
  </w:style>
  <w:style w:type="paragraph" w:styleId="NormalnyWeb">
    <w:name w:val="Normal (Web)"/>
    <w:basedOn w:val="Normalny"/>
    <w:uiPriority w:val="99"/>
    <w:semiHidden w:val="1"/>
    <w:unhideWhenUsed w:val="1"/>
    <w:rsid w:val="0082727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 w:val="1"/>
    <w:rsid w:val="00827277"/>
    <w:rPr>
      <w:b w:val="1"/>
      <w:bCs w:val="1"/>
    </w:rPr>
  </w:style>
  <w:style w:type="character" w:styleId="Bodytext2Exact" w:customStyle="1">
    <w:name w:val="Body text (2) Exact"/>
    <w:basedOn w:val="Domylnaczcionkaakapitu"/>
    <w:rsid w:val="00827277"/>
    <w:rPr>
      <w:rFonts w:ascii="Cambria" w:cs="Cambria" w:eastAsia="Cambria" w:hAnsi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styleId="Bodytext3" w:customStyle="1">
    <w:name w:val="Body text (3)_"/>
    <w:basedOn w:val="Domylnaczcionkaakapitu"/>
    <w:link w:val="Bodytext30"/>
    <w:rsid w:val="00827277"/>
    <w:rPr>
      <w:rFonts w:ascii="Cambria" w:cs="Cambria" w:eastAsia="Cambria" w:hAnsi="Cambria"/>
      <w:shd w:color="auto" w:fill="ffffff" w:val="clear"/>
    </w:rPr>
  </w:style>
  <w:style w:type="character" w:styleId="Heading2" w:customStyle="1">
    <w:name w:val="Heading #2_"/>
    <w:basedOn w:val="Domylnaczcionkaakapitu"/>
    <w:link w:val="Heading20"/>
    <w:rsid w:val="00827277"/>
    <w:rPr>
      <w:rFonts w:ascii="Cambria" w:cs="Cambria" w:eastAsia="Cambria" w:hAnsi="Cambria"/>
      <w:b w:val="1"/>
      <w:bCs w:val="1"/>
      <w:sz w:val="24"/>
      <w:szCs w:val="24"/>
      <w:shd w:color="auto" w:fill="ffffff" w:val="clear"/>
    </w:rPr>
  </w:style>
  <w:style w:type="character" w:styleId="Bodytext2" w:customStyle="1">
    <w:name w:val="Body text (2)_"/>
    <w:basedOn w:val="Domylnaczcionkaakapitu"/>
    <w:link w:val="Bodytext20"/>
    <w:rsid w:val="00827277"/>
    <w:rPr>
      <w:rFonts w:ascii="Cambria" w:cs="Cambria" w:eastAsia="Cambria" w:hAnsi="Cambria"/>
      <w:sz w:val="24"/>
      <w:szCs w:val="24"/>
      <w:shd w:color="auto" w:fill="ffffff" w:val="clear"/>
    </w:rPr>
  </w:style>
  <w:style w:type="character" w:styleId="Bodytext4" w:customStyle="1">
    <w:name w:val="Body text (4)_"/>
    <w:basedOn w:val="Domylnaczcionkaakapitu"/>
    <w:link w:val="Bodytext40"/>
    <w:rsid w:val="00827277"/>
    <w:rPr>
      <w:rFonts w:ascii="Cambria" w:cs="Cambria" w:eastAsia="Cambria" w:hAnsi="Cambria"/>
      <w:b w:val="1"/>
      <w:bCs w:val="1"/>
      <w:i w:val="1"/>
      <w:iCs w:val="1"/>
      <w:sz w:val="24"/>
      <w:szCs w:val="24"/>
      <w:shd w:color="auto" w:fill="ffffff" w:val="clear"/>
    </w:rPr>
  </w:style>
  <w:style w:type="paragraph" w:styleId="Bodytext20" w:customStyle="1">
    <w:name w:val="Body text (2)"/>
    <w:basedOn w:val="Normalny"/>
    <w:link w:val="Bodytext2"/>
    <w:rsid w:val="00827277"/>
    <w:pPr>
      <w:widowControl w:val="0"/>
      <w:shd w:color="auto" w:fill="ffffff" w:val="clear"/>
      <w:spacing w:after="0" w:before="420" w:line="278" w:lineRule="exact"/>
      <w:ind w:hanging="480"/>
      <w:jc w:val="both"/>
    </w:pPr>
    <w:rPr>
      <w:rFonts w:ascii="Cambria" w:cs="Cambria" w:eastAsia="Cambria" w:hAnsi="Cambria"/>
      <w:sz w:val="24"/>
      <w:szCs w:val="24"/>
    </w:rPr>
  </w:style>
  <w:style w:type="paragraph" w:styleId="Bodytext30" w:customStyle="1">
    <w:name w:val="Body text (3)"/>
    <w:basedOn w:val="Normalny"/>
    <w:link w:val="Bodytext3"/>
    <w:rsid w:val="00827277"/>
    <w:pPr>
      <w:widowControl w:val="0"/>
      <w:shd w:color="auto" w:fill="ffffff" w:val="clear"/>
      <w:spacing w:after="420" w:before="60" w:line="254" w:lineRule="exact"/>
      <w:ind w:hanging="340"/>
      <w:jc w:val="center"/>
    </w:pPr>
    <w:rPr>
      <w:rFonts w:ascii="Cambria" w:cs="Cambria" w:eastAsia="Cambria" w:hAnsi="Cambria"/>
    </w:rPr>
  </w:style>
  <w:style w:type="paragraph" w:styleId="Heading20" w:customStyle="1">
    <w:name w:val="Heading #2"/>
    <w:basedOn w:val="Normalny"/>
    <w:link w:val="Heading2"/>
    <w:rsid w:val="00827277"/>
    <w:pPr>
      <w:widowControl w:val="0"/>
      <w:shd w:color="auto" w:fill="ffffff" w:val="clear"/>
      <w:spacing w:after="420" w:before="900" w:line="422" w:lineRule="exact"/>
      <w:ind w:hanging="400"/>
      <w:outlineLvl w:val="1"/>
    </w:pPr>
    <w:rPr>
      <w:rFonts w:ascii="Cambria" w:cs="Cambria" w:eastAsia="Cambria" w:hAnsi="Cambria"/>
      <w:b w:val="1"/>
      <w:bCs w:val="1"/>
      <w:sz w:val="24"/>
      <w:szCs w:val="24"/>
    </w:rPr>
  </w:style>
  <w:style w:type="paragraph" w:styleId="Bodytext40" w:customStyle="1">
    <w:name w:val="Body text (4)"/>
    <w:basedOn w:val="Normalny"/>
    <w:link w:val="Bodytext4"/>
    <w:rsid w:val="00827277"/>
    <w:pPr>
      <w:widowControl w:val="0"/>
      <w:shd w:color="auto" w:fill="ffffff" w:val="clear"/>
      <w:spacing w:after="420" w:line="278" w:lineRule="exact"/>
      <w:jc w:val="both"/>
    </w:pPr>
    <w:rPr>
      <w:rFonts w:ascii="Cambria" w:cs="Cambria" w:eastAsia="Cambria" w:hAnsi="Cambria"/>
      <w:b w:val="1"/>
      <w:bCs w:val="1"/>
      <w:i w:val="1"/>
      <w:iCs w:val="1"/>
      <w:sz w:val="24"/>
      <w:szCs w:val="24"/>
    </w:rPr>
  </w:style>
  <w:style w:type="paragraph" w:styleId="Akapitzlist">
    <w:name w:val="List Paragraph"/>
    <w:basedOn w:val="Normalny"/>
    <w:uiPriority w:val="34"/>
    <w:qFormat w:val="1"/>
    <w:rsid w:val="00827277"/>
    <w:pPr>
      <w:ind w:left="720"/>
      <w:contextualSpacing w:val="1"/>
    </w:pPr>
  </w:style>
  <w:style w:type="character" w:styleId="Bodytext2BoldItalic" w:customStyle="1">
    <w:name w:val="Body text (2) + Bold;Italic"/>
    <w:basedOn w:val="Bodytext2"/>
    <w:rsid w:val="00827277"/>
    <w:rPr>
      <w:rFonts w:ascii="Cambria" w:cs="Cambria" w:eastAsia="Cambria" w:hAnsi="Cambria"/>
      <w:b w:val="1"/>
      <w:bCs w:val="1"/>
      <w:i w:val="1"/>
      <w:iCs w:val="1"/>
      <w:smallCaps w:val="0"/>
      <w:strike w:val="0"/>
      <w:color w:val="000000"/>
      <w:spacing w:val="0"/>
      <w:w w:val="100"/>
      <w:position w:val="0"/>
      <w:sz w:val="24"/>
      <w:szCs w:val="24"/>
      <w:u w:val="none"/>
      <w:shd w:color="auto" w:fill="ffffff" w:val="clear"/>
      <w:lang w:bidi="pl-PL" w:eastAsia="pl-PL" w:val="pl-PL"/>
    </w:rPr>
  </w:style>
  <w:style w:type="character" w:styleId="Bodytext2Bold" w:customStyle="1">
    <w:name w:val="Body text (2) + Bold"/>
    <w:basedOn w:val="Bodytext2"/>
    <w:rsid w:val="00827277"/>
    <w:rPr>
      <w:rFonts w:ascii="Cambria" w:cs="Cambria" w:eastAsia="Cambria" w:hAnsi="Cambria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color="auto" w:fill="ffffff" w:val="clear"/>
      <w:lang w:bidi="pl-PL" w:eastAsia="pl-PL" w:val="pl-PL"/>
    </w:rPr>
  </w:style>
  <w:style w:type="character" w:styleId="Hipercze">
    <w:name w:val="Hyperlink"/>
    <w:basedOn w:val="Domylnaczcionkaakapitu"/>
    <w:rsid w:val="00827277"/>
    <w:rPr>
      <w:color w:val="0066cc"/>
      <w:u w:val="single"/>
    </w:rPr>
  </w:style>
  <w:style w:type="character" w:styleId="Bodytext5NotBold" w:customStyle="1">
    <w:name w:val="Body text (5) + Not Bold"/>
    <w:basedOn w:val="Domylnaczcionkaakapitu"/>
    <w:rsid w:val="00827277"/>
    <w:rPr>
      <w:rFonts w:ascii="Cambria" w:cs="Cambria" w:eastAsia="Cambria" w:hAnsi="Cambria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bidi="pl-PL" w:eastAsia="pl-PL" w:val="pl-PL"/>
    </w:rPr>
  </w:style>
  <w:style w:type="character" w:styleId="Bodytext5" w:customStyle="1">
    <w:name w:val="Body text (5)"/>
    <w:basedOn w:val="Domylnaczcionkaakapitu"/>
    <w:rsid w:val="00827277"/>
    <w:rPr>
      <w:rFonts w:ascii="Cambria" w:cs="Cambria" w:eastAsia="Cambria" w:hAnsi="Cambria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bidi="pl-PL" w:eastAsia="pl-PL" w:val="pl-PL"/>
    </w:rPr>
  </w:style>
  <w:style w:type="paragraph" w:styleId="Default" w:customStyle="1">
    <w:name w:val="Default"/>
    <w:rsid w:val="00287F81"/>
    <w:pPr>
      <w:autoSpaceDE w:val="0"/>
      <w:autoSpaceDN w:val="0"/>
      <w:adjustRightInd w:val="0"/>
      <w:spacing w:after="0" w:line="240" w:lineRule="auto"/>
    </w:pPr>
    <w:rPr>
      <w:rFonts w:ascii="Bookman Old Style" w:cs="Bookman Old Style" w:hAnsi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06B9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06B9D"/>
    <w:rPr>
      <w:rFonts w:ascii="Segoe UI" w:cs="Segoe UI" w:hAnsi="Segoe UI"/>
      <w:sz w:val="18"/>
      <w:szCs w:val="18"/>
    </w:rPr>
  </w:style>
  <w:style w:type="table" w:styleId="Tabela-Siatka">
    <w:name w:val="Table Grid"/>
    <w:basedOn w:val="Standardowy"/>
    <w:uiPriority w:val="39"/>
    <w:rsid w:val="00D864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wek1Znak" w:customStyle="1">
    <w:name w:val="Nagłówek 1 Znak"/>
    <w:basedOn w:val="Domylnaczcionkaakapitu"/>
    <w:link w:val="Nagwek1"/>
    <w:uiPriority w:val="9"/>
    <w:rsid w:val="005D19F1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pLmLTdz2932M6mU0wOzVRhidA==">AMUW2mXKDb6iJmeMbOef6u3iJiHercNEZf4Y8/ESHGypyhudhsHtL6UeuMcu/0ekosbLB/I3kxhtDHDmDdc9PrwBOJn6slcymVRVWzaaIXMTivjjiJJngtlBC+311VYAjivn5w2I/TzF4wvvga8m4ZGnfoB1353Nng==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2020-06-16T11:31:00Z</dcterms:created>
  <dc:creator>Mariusz Wiśniewski</dc:creator>
</cp:coreProperties>
</file>